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110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1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110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УТВЕРЖДЕН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11057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распоряжением администрации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11057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Артемовского городского округа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11057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</w:t>
      </w:r>
      <w:r>
        <w:rPr>
          <w:rFonts w:ascii="Times New Roman" w:hAnsi="Times New Roman" w:cs="Times New Roman"/>
          <w:sz w:val="28"/>
          <w:szCs w:val="28"/>
        </w:rPr>
        <w:t xml:space="preserve">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1134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1134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eastAsia="Calibri" w:cs="Times New Roman"/>
          <w:b/>
          <w:sz w:val="28"/>
          <w:szCs w:val="28"/>
        </w:rPr>
      </w:pPr>
      <w:r>
        <w:rPr>
          <w:rFonts w:ascii="Times New Roman" w:hAnsi="Times New Roman" w:eastAsia="Calibri" w:cs="Times New Roman"/>
          <w:b/>
          <w:sz w:val="28"/>
          <w:szCs w:val="28"/>
        </w:rPr>
        <w:t xml:space="preserve">ПЛАН МЕРОПРИЯТИЙ </w:t>
      </w:r>
      <w:r>
        <w:rPr>
          <w:rFonts w:ascii="Times New Roman" w:hAnsi="Times New Roman" w:eastAsia="Calibri" w:cs="Times New Roman"/>
          <w:b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eastAsia="Calibri" w:cs="Times New Roman"/>
          <w:b/>
          <w:sz w:val="28"/>
          <w:szCs w:val="28"/>
        </w:rPr>
      </w:pPr>
      <w:r>
        <w:rPr>
          <w:rFonts w:ascii="Times New Roman" w:hAnsi="Times New Roman" w:eastAsia="Calibri" w:cs="Times New Roman"/>
          <w:b/>
          <w:sz w:val="28"/>
          <w:szCs w:val="28"/>
        </w:rPr>
        <w:t xml:space="preserve">(«дорожная карта») по снижению рисков нарушения антимонопольного законодательства в сфере жилищно-</w:t>
      </w:r>
      <w:r>
        <w:rPr>
          <w:rFonts w:ascii="Times New Roman" w:hAnsi="Times New Roman" w:eastAsia="Calibri" w:cs="Times New Roman"/>
          <w:b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eastAsia="Calibri" w:cs="Times New Roman"/>
          <w:b/>
          <w:sz w:val="28"/>
          <w:szCs w:val="28"/>
        </w:rPr>
      </w:pPr>
      <w:r>
        <w:rPr>
          <w:rFonts w:ascii="Times New Roman" w:hAnsi="Times New Roman" w:eastAsia="Calibri" w:cs="Times New Roman"/>
          <w:b/>
          <w:sz w:val="28"/>
          <w:szCs w:val="28"/>
        </w:rPr>
        <w:t xml:space="preserve">коммунального хозяйства</w:t>
      </w:r>
      <w:r>
        <w:rPr>
          <w:rFonts w:ascii="Times New Roman" w:hAnsi="Times New Roman" w:eastAsia="Calibri" w:cs="Times New Roman"/>
          <w:b/>
          <w:sz w:val="28"/>
          <w:szCs w:val="28"/>
        </w:rPr>
        <w:t xml:space="preserve"> на 20</w:t>
      </w:r>
      <w:r>
        <w:rPr>
          <w:rFonts w:ascii="Times New Roman" w:hAnsi="Times New Roman" w:eastAsia="Calibri" w:cs="Times New Roman"/>
          <w:b/>
          <w:sz w:val="28"/>
          <w:szCs w:val="28"/>
        </w:rPr>
        <w:t xml:space="preserve">2</w:t>
      </w:r>
      <w:r>
        <w:rPr>
          <w:rFonts w:ascii="Times New Roman" w:hAnsi="Times New Roman" w:eastAsia="Calibri" w:cs="Times New Roman"/>
          <w:b/>
          <w:sz w:val="28"/>
          <w:szCs w:val="28"/>
        </w:rPr>
        <w:t xml:space="preserve">5</w:t>
      </w:r>
      <w:r>
        <w:rPr>
          <w:rFonts w:ascii="Times New Roman" w:hAnsi="Times New Roman" w:eastAsia="Calibri" w:cs="Times New Roman"/>
          <w:b/>
          <w:sz w:val="28"/>
          <w:szCs w:val="28"/>
        </w:rPr>
        <w:t xml:space="preserve"> год</w:t>
      </w:r>
      <w:r>
        <w:rPr>
          <w:rFonts w:ascii="Times New Roman" w:hAnsi="Times New Roman" w:eastAsia="Calibri" w:cs="Times New Roman"/>
          <w:b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Style w:val="677"/>
        <w:tblW w:w="15352" w:type="dxa"/>
        <w:tblLook w:val="04A0" w:firstRow="1" w:lastRow="0" w:firstColumn="1" w:lastColumn="0" w:noHBand="0" w:noVBand="1"/>
      </w:tblPr>
      <w:tblGrid>
        <w:gridCol w:w="509"/>
        <w:gridCol w:w="3310"/>
        <w:gridCol w:w="3487"/>
        <w:gridCol w:w="3423"/>
        <w:gridCol w:w="1912"/>
        <w:gridCol w:w="2711"/>
      </w:tblGrid>
      <w:tr>
        <w:tblPrEx/>
        <w:trPr/>
        <w:tc>
          <w:tcPr>
            <w:tcW w:w="5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п/п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W w:w="331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Комплаенс-риск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W w:w="348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Общие меры по устранению рисков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W w:w="342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Предложенные действия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W w:w="191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Срок исполнения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W w:w="271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Ответственный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</w:tr>
      <w:tr>
        <w:tblPrEx/>
        <w:trPr/>
        <w:tc>
          <w:tcPr>
            <w:tcW w:w="5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W w:w="331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W w:w="348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W w:w="342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4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W w:w="191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5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W w:w="271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6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</w:tr>
      <w:tr>
        <w:tblPrEx/>
        <w:trPr/>
        <w:tc>
          <w:tcPr>
            <w:tcW w:w="50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31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Нарушение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антимонополь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ного законодательства при раз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работке и утверждении нормативных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правовых актов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(НПА)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положения которых могут привести к ограниче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нию конкуренции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487" w:type="dxa"/>
            <w:textDirection w:val="lrTb"/>
            <w:noWrap w:val="false"/>
          </w:tcPr>
          <w:p>
            <w:pPr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Контроль за соблюдением действующего антимонопольного законодательства при разработке и утверждении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НПА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Повышение уровня внутриведомственного и меж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ведомственного взаимодейст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вия, в том числе электронного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Повышение уровня правовой экспертизы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423" w:type="dxa"/>
            <w:textDirection w:val="lrTb"/>
            <w:noWrap w:val="false"/>
          </w:tcPr>
          <w:p>
            <w:pPr>
              <w:ind w:right="-38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Анализ проектов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НПА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пред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мет соответствия антимоно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по-льному законо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дательству.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Устранение выявленных при анализе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проектов НПА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нару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шений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Анализ судебной практики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Проведение оценки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регулирующего воздействия проектов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НПА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регулирующих отношения с юридическими лицами (индивидуальными предпринимателями)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91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остоянно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71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правлени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жизнеобеспечения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257"/>
        </w:trPr>
        <w:tc>
          <w:tcPr>
            <w:tcW w:w="50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31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Нарушение антимонополь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ного законодательства при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существлении закупок товаров, работ, услуг для 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487" w:type="dxa"/>
            <w:textDirection w:val="lrTb"/>
            <w:noWrap w:val="false"/>
          </w:tcPr>
          <w:p>
            <w:pPr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Мониторинг и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анализ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изменений, вносимых в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НПА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, регулирующи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 осуществление муниципальных закупок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3423" w:type="dxa"/>
            <w:textDirection w:val="lrTb"/>
            <w:noWrap w:val="false"/>
          </w:tcPr>
          <w:p>
            <w:pPr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Повышение квалификации должностных лиц, ответственных за осуществление закупок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912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постоянно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711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правлени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жизнеобеспечения и благоустройства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77"/>
        </w:trPr>
        <w:tc>
          <w:tcPr>
            <w:tcW w:w="5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W w:w="331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348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 w:eastAsia="Calibri" w:cs="Times New Roman"/>
                <w:b/>
                <w:sz w:val="20"/>
                <w:szCs w:val="20"/>
              </w:rPr>
            </w:r>
          </w:p>
        </w:tc>
        <w:tc>
          <w:tcPr>
            <w:tcW w:w="342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sz w:val="20"/>
                <w:szCs w:val="20"/>
              </w:rPr>
              <w:t xml:space="preserve">4</w:t>
            </w:r>
            <w:r>
              <w:rPr>
                <w:rFonts w:ascii="Times New Roman" w:hAnsi="Times New Roman" w:eastAsia="Calibri" w:cs="Times New Roman"/>
                <w:b/>
                <w:sz w:val="20"/>
                <w:szCs w:val="20"/>
              </w:rPr>
            </w:r>
          </w:p>
        </w:tc>
        <w:tc>
          <w:tcPr>
            <w:tcW w:w="191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5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W w:w="271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6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</w:tr>
      <w:tr>
        <w:tblPrEx/>
        <w:trPr/>
        <w:tc>
          <w:tcPr>
            <w:tcW w:w="50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31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обеспечения муниципальных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нужд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487" w:type="dxa"/>
            <w:textDirection w:val="lrTb"/>
            <w:noWrap w:val="false"/>
          </w:tcPr>
          <w:p>
            <w:pPr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Контроль за подготовкой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доку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ментации для проведения закупок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3423" w:type="dxa"/>
            <w:textDirection w:val="lrTb"/>
            <w:noWrap w:val="false"/>
          </w:tcPr>
          <w:p>
            <w:pPr>
              <w:rPr>
                <w:rFonts w:ascii="Times New Roman" w:hAnsi="Times New Roman" w:eastAsia="Calibri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Анализ судебной практики</w:t>
            </w:r>
            <w:r>
              <w:rPr>
                <w:rFonts w:ascii="Times New Roman" w:hAnsi="Times New Roman" w:eastAsia="Calibri" w:cs="Times New Roman"/>
                <w:b/>
                <w:sz w:val="20"/>
                <w:szCs w:val="20"/>
              </w:rPr>
            </w:r>
          </w:p>
        </w:tc>
        <w:tc>
          <w:tcPr>
            <w:tcW w:w="191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W w:w="2711" w:type="dxa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</w:tr>
      <w:tr>
        <w:tblPrEx/>
        <w:trPr/>
        <w:tc>
          <w:tcPr>
            <w:tcW w:w="50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31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Нарушение антимонопольного зак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онодательства при осуществлении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муниципального жилищного контроля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487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Разъяснение работникам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осуществляющим муни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ципальный контроль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их обя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занностей и мер ответствен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ности при осуществлени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муниципального жилищного контроля.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 за осуществлением  муниципального жилищного контроля.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Соблюдение норм дейс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твующего законодатель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ства при осуществлении контроля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423" w:type="dxa"/>
            <w:textDirection w:val="lrTb"/>
            <w:noWrap w:val="false"/>
          </w:tcPr>
          <w:p>
            <w:pPr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Мониторинг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НПА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 в области муниципального жилищного контроля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Анализ судебной практики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91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постоянно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W w:w="2711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правлени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жизнеобеспечения 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отдела муниципального жилищного контроля 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правлени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жизнеобеспечения 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0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31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Нарушение антимонопольного законодательства при проведении открытых конкурсов по отбору управляющей организации для управления многоквартирным домом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487" w:type="dxa"/>
            <w:textDirection w:val="lrTb"/>
            <w:noWrap w:val="false"/>
          </w:tcPr>
          <w:p>
            <w:pPr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Контроль за соблюдением требований законодательства при проведении открытого конкурса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423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Соблюдение Правил проведения открытого конкурса, установленных постановлением Правительства 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оссийской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Ф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едерации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 06.02.2006 № 75 «О порядке проведения органом местного самоуправления открытого конкурса по отбору управляющей организации для управления многоквартирным домом»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Анализ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выявленных нарушений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(при наличии)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Анализ судебной практики.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оступность информации о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проведении конкурса и обес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печение открытости его проведения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91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постоянно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711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правлени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жизнеобеспечения 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W w:w="331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348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 w:eastAsia="Calibri" w:cs="Times New Roman"/>
                <w:b/>
                <w:sz w:val="20"/>
                <w:szCs w:val="20"/>
              </w:rPr>
            </w:r>
          </w:p>
        </w:tc>
        <w:tc>
          <w:tcPr>
            <w:tcW w:w="342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4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191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5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271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6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</w:tr>
      <w:tr>
        <w:tblPrEx/>
        <w:trPr>
          <w:trHeight w:val="6700"/>
        </w:trPr>
        <w:tc>
          <w:tcPr>
            <w:tcW w:w="50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31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Нарушение антимонополь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ного законодательства при предоставлении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органи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зациям (за исключением муниципальных учреждений) и индивидуальным предпри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нимателям, осуществляющим управление многоквартир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ными домами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субсидий на возмещение затрат, возника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ющих в связи с установле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нием платы за содержание и ремонт жилого помещения для нанимателей помещений муниципального жилищного фонда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размере меньшем, чем размер платы, установ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ленный договором управле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ния,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 также на возмещение недополученных доходов в связи с обеспечением населе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ния Артемовского городского округа твердым топливом (дровами)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48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за соблюдением требований Бюджетного и Жилищного кодексов.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за соблюдением требований, установленных Порядком предоставления субсидий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423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Проведение разъяснительных мероприятий, встреч с юридическими лицами и индивидуальными предпринимателями по вопросам предоставления субсидий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912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постоянно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711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управления жизнеобеспечения 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698"/>
        </w:trPr>
        <w:tc>
          <w:tcPr>
            <w:tcW w:w="50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31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Нарушение антимонопо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льного законодательства при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заключении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соглашений о предоставлении субсидий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487" w:type="dxa"/>
            <w:textDirection w:val="lrTb"/>
            <w:noWrap w:val="false"/>
          </w:tcPr>
          <w:p>
            <w:pPr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Контроль за соблюдением требований, установленных Порядком предоставления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субсидий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3423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дение разъяснительных мероприятий, встреч с юриди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ческими лицами 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индивиду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альными предпринимателями по вопросам предоставления субсидий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91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постоянно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711" w:type="dxa"/>
            <w:textDirection w:val="lrTb"/>
            <w:noWrap w:val="false"/>
          </w:tcPr>
          <w:p>
            <w:pPr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начальник у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правлени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я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 жизнеобеспечения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sectPr>
      <w:headerReference w:type="default" r:id="rId8"/>
      <w:footnotePr/>
      <w:endnotePr/>
      <w:type w:val="nextPage"/>
      <w:pgSz w:w="16838" w:h="11906" w:orient="landscape"/>
      <w:pgMar w:top="1814" w:right="851" w:bottom="567" w:left="851" w:header="850" w:footer="850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Segoe UI">
    <w:panose1 w:val="020B0502040204020203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227575890"/>
      <w:docPartObj>
        <w:docPartGallery w:val="Page Numbers (Top of Page)"/>
        <w:docPartUnique w:val="true"/>
      </w:docPartObj>
      <w:rPr/>
    </w:sdtPr>
    <w:sdtContent>
      <w:p>
        <w:pPr>
          <w:pStyle w:val="680"/>
          <w:jc w:val="center"/>
          <w:rPr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 xml:space="preserve">PAGE   \* MERGEFORMAT</w:instrText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sz w:val="28"/>
            <w:szCs w:val="28"/>
          </w:rPr>
          <w:t xml:space="preserve">2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  <w:r>
          <w:rPr>
            <w:sz w:val="28"/>
            <w:szCs w:val="28"/>
          </w:rPr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73"/>
    <w:next w:val="673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74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73"/>
    <w:next w:val="673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74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73"/>
    <w:next w:val="673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74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73"/>
    <w:next w:val="673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74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73"/>
    <w:next w:val="673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74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73"/>
    <w:next w:val="673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74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73"/>
    <w:next w:val="673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74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73"/>
    <w:next w:val="673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74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73"/>
    <w:next w:val="673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74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73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73"/>
    <w:next w:val="673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74"/>
    <w:link w:val="34"/>
    <w:uiPriority w:val="10"/>
    <w:rPr>
      <w:sz w:val="48"/>
      <w:szCs w:val="48"/>
    </w:rPr>
  </w:style>
  <w:style w:type="paragraph" w:styleId="36">
    <w:name w:val="Subtitle"/>
    <w:basedOn w:val="673"/>
    <w:next w:val="673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74"/>
    <w:link w:val="36"/>
    <w:uiPriority w:val="11"/>
    <w:rPr>
      <w:sz w:val="24"/>
      <w:szCs w:val="24"/>
    </w:rPr>
  </w:style>
  <w:style w:type="paragraph" w:styleId="38">
    <w:name w:val="Quote"/>
    <w:basedOn w:val="673"/>
    <w:next w:val="673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73"/>
    <w:next w:val="673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character" w:styleId="43">
    <w:name w:val="Header Char"/>
    <w:basedOn w:val="674"/>
    <w:link w:val="680"/>
    <w:uiPriority w:val="99"/>
  </w:style>
  <w:style w:type="character" w:styleId="45">
    <w:name w:val="Footer Char"/>
    <w:basedOn w:val="674"/>
    <w:link w:val="682"/>
    <w:uiPriority w:val="99"/>
  </w:style>
  <w:style w:type="paragraph" w:styleId="46">
    <w:name w:val="Caption"/>
    <w:basedOn w:val="673"/>
    <w:next w:val="67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682"/>
    <w:uiPriority w:val="99"/>
  </w:style>
  <w:style w:type="table" w:styleId="49">
    <w:name w:val="Table Grid Light"/>
    <w:basedOn w:val="67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7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7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7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7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7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7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7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7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7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8">
    <w:name w:val="List Table 7 Colorful - Accent 2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2">
    <w:name w:val="List Table 7 Colorful - Accent 6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67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7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5">
    <w:name w:val="Lined - Accent 2"/>
    <w:basedOn w:val="67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67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67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67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9">
    <w:name w:val="Lined - Accent 6"/>
    <w:basedOn w:val="67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67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7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2">
    <w:name w:val="Bordered &amp; Lined - Accent 2"/>
    <w:basedOn w:val="67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67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67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67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6">
    <w:name w:val="Bordered &amp; Lined - Accent 6"/>
    <w:basedOn w:val="67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73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74"/>
    <w:uiPriority w:val="99"/>
    <w:unhideWhenUsed/>
    <w:rPr>
      <w:vertAlign w:val="superscript"/>
    </w:rPr>
  </w:style>
  <w:style w:type="paragraph" w:styleId="178">
    <w:name w:val="endnote text"/>
    <w:basedOn w:val="673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74"/>
    <w:uiPriority w:val="99"/>
    <w:semiHidden/>
    <w:unhideWhenUsed/>
    <w:rPr>
      <w:vertAlign w:val="superscript"/>
    </w:rPr>
  </w:style>
  <w:style w:type="paragraph" w:styleId="181">
    <w:name w:val="toc 1"/>
    <w:basedOn w:val="673"/>
    <w:next w:val="673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73"/>
    <w:next w:val="673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73"/>
    <w:next w:val="673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73"/>
    <w:next w:val="673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73"/>
    <w:next w:val="673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73"/>
    <w:next w:val="673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73"/>
    <w:next w:val="673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73"/>
    <w:next w:val="673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73"/>
    <w:next w:val="673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73"/>
    <w:next w:val="673"/>
    <w:uiPriority w:val="99"/>
    <w:unhideWhenUsed/>
    <w:pPr>
      <w:spacing w:after="0" w:afterAutospacing="0"/>
    </w:pPr>
  </w:style>
  <w:style w:type="paragraph" w:styleId="673" w:default="1">
    <w:name w:val="Normal"/>
    <w:qFormat/>
  </w:style>
  <w:style w:type="character" w:styleId="674" w:default="1">
    <w:name w:val="Default Paragraph Font"/>
    <w:uiPriority w:val="1"/>
    <w:semiHidden/>
    <w:unhideWhenUsed/>
  </w:style>
  <w:style w:type="table" w:styleId="67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76" w:default="1">
    <w:name w:val="No List"/>
    <w:uiPriority w:val="99"/>
    <w:semiHidden/>
    <w:unhideWhenUsed/>
  </w:style>
  <w:style w:type="table" w:styleId="677">
    <w:name w:val="Table Grid"/>
    <w:basedOn w:val="675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678">
    <w:name w:val="Balloon Text"/>
    <w:basedOn w:val="673"/>
    <w:link w:val="679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679" w:customStyle="1">
    <w:name w:val="Текст выноски Знак"/>
    <w:basedOn w:val="674"/>
    <w:link w:val="678"/>
    <w:uiPriority w:val="99"/>
    <w:semiHidden/>
    <w:rPr>
      <w:rFonts w:ascii="Segoe UI" w:hAnsi="Segoe UI" w:cs="Segoe UI"/>
      <w:sz w:val="18"/>
      <w:szCs w:val="18"/>
    </w:rPr>
  </w:style>
  <w:style w:type="paragraph" w:styleId="680">
    <w:name w:val="Header"/>
    <w:basedOn w:val="673"/>
    <w:link w:val="681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681" w:customStyle="1">
    <w:name w:val="Верхний колонтитул Знак"/>
    <w:basedOn w:val="674"/>
    <w:link w:val="680"/>
    <w:uiPriority w:val="99"/>
  </w:style>
  <w:style w:type="paragraph" w:styleId="682">
    <w:name w:val="Footer"/>
    <w:basedOn w:val="673"/>
    <w:link w:val="683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683" w:customStyle="1">
    <w:name w:val="Нижний колонтитул Знак"/>
    <w:basedOn w:val="674"/>
    <w:link w:val="682"/>
    <w:uiPriority w:val="99"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A42F6D-A890-42AF-84DA-31F982FD5C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Р7-Офис/2024.4.1.625</Application>
  <Company>SPecialiST RePack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Самсонова Татьяна Александровна</dc:creator>
  <cp:keywords/>
  <dc:description/>
  <cp:revision>21</cp:revision>
  <dcterms:created xsi:type="dcterms:W3CDTF">2020-08-05T03:39:00Z</dcterms:created>
  <dcterms:modified xsi:type="dcterms:W3CDTF">2025-01-21T02:40:18Z</dcterms:modified>
</cp:coreProperties>
</file>